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36C" w:rsidRPr="0007636C" w:rsidRDefault="0007636C" w:rsidP="0007636C">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07636C">
        <w:rPr>
          <w:rFonts w:ascii="Times New Roman" w:eastAsia="Times New Roman" w:hAnsi="Times New Roman" w:cs="Times New Roman"/>
          <w:b/>
          <w:bCs/>
          <w:sz w:val="36"/>
          <w:szCs w:val="36"/>
          <w:lang w:eastAsia="fr-FR"/>
        </w:rPr>
        <w:t>Questions ouvertes</w:t>
      </w:r>
    </w:p>
    <w:p w:rsidR="0007636C" w:rsidRPr="0007636C" w:rsidRDefault="0007636C" w:rsidP="0007636C">
      <w:pPr>
        <w:numPr>
          <w:ilvl w:val="0"/>
          <w:numId w:val="27"/>
        </w:num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sz w:val="24"/>
          <w:szCs w:val="24"/>
          <w:lang w:eastAsia="fr-FR"/>
        </w:rPr>
        <w:t>Quels sont les objectifs principaux de l’entretien pharmaceutique grossesse et en quoi complète-t-il le conseil donné au comptoir ?</w:t>
      </w:r>
    </w:p>
    <w:p w:rsidR="0007636C" w:rsidRPr="0007636C" w:rsidRDefault="0007636C" w:rsidP="0007636C">
      <w:pPr>
        <w:numPr>
          <w:ilvl w:val="0"/>
          <w:numId w:val="27"/>
        </w:num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sz w:val="24"/>
          <w:szCs w:val="24"/>
          <w:lang w:eastAsia="fr-FR"/>
        </w:rPr>
        <w:t>Dans quelles situations est-il particulièrement pertinent de proposer un entretien pharmaceutique à une femme enceinte ?</w:t>
      </w:r>
    </w:p>
    <w:p w:rsidR="0007636C" w:rsidRPr="0007636C" w:rsidRDefault="0007636C" w:rsidP="0007636C">
      <w:pPr>
        <w:numPr>
          <w:ilvl w:val="0"/>
          <w:numId w:val="27"/>
        </w:num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sz w:val="24"/>
          <w:szCs w:val="24"/>
          <w:lang w:eastAsia="fr-FR"/>
        </w:rPr>
        <w:t>Quelles mesures organisationnelles peuvent être mises en place au sein de l’officine pour assurer un relais efficace vers l’entretien pharmaceutique ?</w:t>
      </w:r>
    </w:p>
    <w:p w:rsidR="0007636C" w:rsidRPr="0007636C" w:rsidRDefault="0007636C" w:rsidP="0007636C">
      <w:pPr>
        <w:spacing w:after="0"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sz w:val="24"/>
          <w:szCs w:val="24"/>
          <w:lang w:eastAsia="fr-FR"/>
        </w:rPr>
        <w:pict>
          <v:rect id="_x0000_i1091" style="width:0;height:1.5pt" o:hralign="center" o:hrstd="t" o:hr="t" fillcolor="#a0a0a0" stroked="f"/>
        </w:pict>
      </w:r>
    </w:p>
    <w:p w:rsidR="0007636C" w:rsidRPr="0007636C" w:rsidRDefault="0007636C" w:rsidP="0007636C">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07636C">
        <w:rPr>
          <w:rFonts w:ascii="Times New Roman" w:eastAsia="Times New Roman" w:hAnsi="Times New Roman" w:cs="Times New Roman"/>
          <w:b/>
          <w:bCs/>
          <w:sz w:val="36"/>
          <w:szCs w:val="36"/>
          <w:lang w:eastAsia="fr-FR"/>
        </w:rPr>
        <w:t>Quiz (QCM)</w:t>
      </w:r>
    </w:p>
    <w:p w:rsidR="0007636C" w:rsidRPr="0007636C" w:rsidRDefault="0007636C" w:rsidP="0007636C">
      <w:p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b/>
          <w:bCs/>
          <w:sz w:val="24"/>
          <w:szCs w:val="24"/>
          <w:lang w:eastAsia="fr-FR"/>
        </w:rPr>
        <w:t>QCM 1 : Objectifs de l’entretien pharmaceutique</w:t>
      </w:r>
      <w:r w:rsidRPr="0007636C">
        <w:rPr>
          <w:rFonts w:ascii="Times New Roman" w:eastAsia="Times New Roman" w:hAnsi="Times New Roman" w:cs="Times New Roman"/>
          <w:sz w:val="24"/>
          <w:szCs w:val="24"/>
          <w:lang w:eastAsia="fr-FR"/>
        </w:rPr>
        <w:br/>
        <w:t>Parmi les propositions suivantes, laquelle correspond à un objectif de l’entretien pharmaceutique grossesse ?</w:t>
      </w:r>
    </w:p>
    <w:p w:rsidR="0007636C" w:rsidRPr="0007636C" w:rsidRDefault="0007636C" w:rsidP="0007636C">
      <w:p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sz w:val="24"/>
          <w:szCs w:val="24"/>
          <w:lang w:eastAsia="fr-FR"/>
        </w:rPr>
        <w:t>A. Vérifier les traitements, ordonnances et automédications</w:t>
      </w:r>
      <w:r w:rsidRPr="0007636C">
        <w:rPr>
          <w:rFonts w:ascii="Times New Roman" w:eastAsia="Times New Roman" w:hAnsi="Times New Roman" w:cs="Times New Roman"/>
          <w:sz w:val="24"/>
          <w:szCs w:val="24"/>
          <w:lang w:eastAsia="fr-FR"/>
        </w:rPr>
        <w:br/>
        <w:t>B. Remplacer le suivi médical par le pharmacien</w:t>
      </w:r>
      <w:r w:rsidRPr="0007636C">
        <w:rPr>
          <w:rFonts w:ascii="Times New Roman" w:eastAsia="Times New Roman" w:hAnsi="Times New Roman" w:cs="Times New Roman"/>
          <w:sz w:val="24"/>
          <w:szCs w:val="24"/>
          <w:lang w:eastAsia="fr-FR"/>
        </w:rPr>
        <w:br/>
        <w:t>C. Limiter les interactions avec la patiente pour gagner du temps</w:t>
      </w:r>
      <w:r w:rsidRPr="0007636C">
        <w:rPr>
          <w:rFonts w:ascii="Times New Roman" w:eastAsia="Times New Roman" w:hAnsi="Times New Roman" w:cs="Times New Roman"/>
          <w:sz w:val="24"/>
          <w:szCs w:val="24"/>
          <w:lang w:eastAsia="fr-FR"/>
        </w:rPr>
        <w:br/>
        <w:t>D. Donner uniquement des conseils généraux sur la grossesse</w:t>
      </w:r>
    </w:p>
    <w:p w:rsidR="0007636C" w:rsidRPr="0007636C" w:rsidRDefault="0007636C" w:rsidP="0007636C">
      <w:pPr>
        <w:spacing w:after="0"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sz w:val="24"/>
          <w:szCs w:val="24"/>
          <w:lang w:eastAsia="fr-FR"/>
        </w:rPr>
        <w:pict>
          <v:rect id="_x0000_i1092" style="width:0;height:1.5pt" o:hralign="center" o:hrstd="t" o:hr="t" fillcolor="#a0a0a0" stroked="f"/>
        </w:pict>
      </w:r>
    </w:p>
    <w:p w:rsidR="0007636C" w:rsidRPr="0007636C" w:rsidRDefault="0007636C" w:rsidP="0007636C">
      <w:p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b/>
          <w:bCs/>
          <w:sz w:val="24"/>
          <w:szCs w:val="24"/>
          <w:lang w:eastAsia="fr-FR"/>
        </w:rPr>
        <w:t>QCM 2 : Moment opportun pour proposer l’entretien</w:t>
      </w:r>
      <w:r w:rsidRPr="0007636C">
        <w:rPr>
          <w:rFonts w:ascii="Times New Roman" w:eastAsia="Times New Roman" w:hAnsi="Times New Roman" w:cs="Times New Roman"/>
          <w:sz w:val="24"/>
          <w:szCs w:val="24"/>
          <w:lang w:eastAsia="fr-FR"/>
        </w:rPr>
        <w:br/>
        <w:t>Quelle situation représente un moment pertinent pour proposer un entretien pharmaceutique à la patiente ?</w:t>
      </w:r>
    </w:p>
    <w:p w:rsidR="0007636C" w:rsidRPr="0007636C" w:rsidRDefault="0007636C" w:rsidP="0007636C">
      <w:p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sz w:val="24"/>
          <w:szCs w:val="24"/>
          <w:lang w:eastAsia="fr-FR"/>
        </w:rPr>
        <w:t>A. Lors de la première ordonnance grossesse</w:t>
      </w:r>
      <w:r w:rsidRPr="0007636C">
        <w:rPr>
          <w:rFonts w:ascii="Times New Roman" w:eastAsia="Times New Roman" w:hAnsi="Times New Roman" w:cs="Times New Roman"/>
          <w:sz w:val="24"/>
          <w:szCs w:val="24"/>
          <w:lang w:eastAsia="fr-FR"/>
        </w:rPr>
        <w:br/>
        <w:t>B. Quand la patiente achète des vitamines pour son enfant</w:t>
      </w:r>
      <w:r w:rsidRPr="0007636C">
        <w:rPr>
          <w:rFonts w:ascii="Times New Roman" w:eastAsia="Times New Roman" w:hAnsi="Times New Roman" w:cs="Times New Roman"/>
          <w:sz w:val="24"/>
          <w:szCs w:val="24"/>
          <w:lang w:eastAsia="fr-FR"/>
        </w:rPr>
        <w:br/>
        <w:t>C. Pour toutes les consultations sans rapport avec la grossesse</w:t>
      </w:r>
      <w:r w:rsidRPr="0007636C">
        <w:rPr>
          <w:rFonts w:ascii="Times New Roman" w:eastAsia="Times New Roman" w:hAnsi="Times New Roman" w:cs="Times New Roman"/>
          <w:sz w:val="24"/>
          <w:szCs w:val="24"/>
          <w:lang w:eastAsia="fr-FR"/>
        </w:rPr>
        <w:br/>
        <w:t>D. Lorsque la patiente refuse systématiquement toute information</w:t>
      </w:r>
    </w:p>
    <w:p w:rsidR="0007636C" w:rsidRPr="0007636C" w:rsidRDefault="0007636C" w:rsidP="0007636C">
      <w:pPr>
        <w:spacing w:after="0"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sz w:val="24"/>
          <w:szCs w:val="24"/>
          <w:lang w:eastAsia="fr-FR"/>
        </w:rPr>
        <w:pict>
          <v:rect id="_x0000_i1093" style="width:0;height:1.5pt" o:hralign="center" o:hrstd="t" o:hr="t" fillcolor="#a0a0a0" stroked="f"/>
        </w:pict>
      </w:r>
    </w:p>
    <w:p w:rsidR="0007636C" w:rsidRPr="0007636C" w:rsidRDefault="0007636C" w:rsidP="0007636C">
      <w:p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b/>
          <w:bCs/>
          <w:sz w:val="24"/>
          <w:szCs w:val="24"/>
          <w:lang w:eastAsia="fr-FR"/>
        </w:rPr>
        <w:t>QCM 3 : Organisation interne pour le suivi</w:t>
      </w:r>
      <w:r w:rsidRPr="0007636C">
        <w:rPr>
          <w:rFonts w:ascii="Times New Roman" w:eastAsia="Times New Roman" w:hAnsi="Times New Roman" w:cs="Times New Roman"/>
          <w:sz w:val="24"/>
          <w:szCs w:val="24"/>
          <w:lang w:eastAsia="fr-FR"/>
        </w:rPr>
        <w:br/>
        <w:t>Parmi les mesures suivantes, laquelle contribue à structurer efficacement le relais vers l’entretien pharmaceutique ?</w:t>
      </w:r>
    </w:p>
    <w:p w:rsidR="0007636C" w:rsidRPr="0007636C" w:rsidRDefault="0007636C" w:rsidP="0007636C">
      <w:p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sz w:val="24"/>
          <w:szCs w:val="24"/>
          <w:lang w:eastAsia="fr-FR"/>
        </w:rPr>
        <w:t>A. Tenir un registre des entretiens réalisés avec dates et thèmes abordés</w:t>
      </w:r>
      <w:r w:rsidRPr="0007636C">
        <w:rPr>
          <w:rFonts w:ascii="Times New Roman" w:eastAsia="Times New Roman" w:hAnsi="Times New Roman" w:cs="Times New Roman"/>
          <w:sz w:val="24"/>
          <w:szCs w:val="24"/>
          <w:lang w:eastAsia="fr-FR"/>
        </w:rPr>
        <w:br/>
        <w:t>B. Ne pas formaliser les échanges pour rester flexible</w:t>
      </w:r>
      <w:r w:rsidRPr="0007636C">
        <w:rPr>
          <w:rFonts w:ascii="Times New Roman" w:eastAsia="Times New Roman" w:hAnsi="Times New Roman" w:cs="Times New Roman"/>
          <w:sz w:val="24"/>
          <w:szCs w:val="24"/>
          <w:lang w:eastAsia="fr-FR"/>
        </w:rPr>
        <w:br/>
        <w:t>C. Confier les conseils uniquement aux préparateurs sans coordination</w:t>
      </w:r>
      <w:r w:rsidRPr="0007636C">
        <w:rPr>
          <w:rFonts w:ascii="Times New Roman" w:eastAsia="Times New Roman" w:hAnsi="Times New Roman" w:cs="Times New Roman"/>
          <w:sz w:val="24"/>
          <w:szCs w:val="24"/>
          <w:lang w:eastAsia="fr-FR"/>
        </w:rPr>
        <w:br/>
        <w:t>D. Supprimer les supports de communication pour simplifier le comptoir</w:t>
      </w:r>
    </w:p>
    <w:p w:rsidR="0007636C" w:rsidRPr="0007636C" w:rsidRDefault="0007636C" w:rsidP="0007636C">
      <w:pPr>
        <w:spacing w:after="0"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sz w:val="24"/>
          <w:szCs w:val="24"/>
          <w:lang w:eastAsia="fr-FR"/>
        </w:rPr>
        <w:pict>
          <v:rect id="_x0000_i1094" style="width:0;height:1.5pt" o:hralign="center" o:hrstd="t" o:hr="t" fillcolor="#a0a0a0" stroked="f"/>
        </w:pict>
      </w:r>
    </w:p>
    <w:p w:rsidR="0007636C" w:rsidRPr="0007636C" w:rsidRDefault="0007636C" w:rsidP="0007636C">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07636C">
        <w:rPr>
          <w:rFonts w:ascii="Times New Roman" w:eastAsia="Times New Roman" w:hAnsi="Times New Roman" w:cs="Times New Roman"/>
          <w:b/>
          <w:bCs/>
          <w:sz w:val="36"/>
          <w:szCs w:val="36"/>
          <w:lang w:eastAsia="fr-FR"/>
        </w:rPr>
        <w:t>Réponses et justifications</w:t>
      </w:r>
    </w:p>
    <w:p w:rsidR="0007636C" w:rsidRPr="0007636C" w:rsidRDefault="0007636C" w:rsidP="0007636C">
      <w:p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b/>
          <w:bCs/>
          <w:sz w:val="24"/>
          <w:szCs w:val="24"/>
          <w:lang w:eastAsia="fr-FR"/>
        </w:rPr>
        <w:t>Questions ouvertes</w:t>
      </w:r>
    </w:p>
    <w:p w:rsidR="0007636C" w:rsidRPr="0007636C" w:rsidRDefault="0007636C" w:rsidP="0007636C">
      <w:pPr>
        <w:numPr>
          <w:ilvl w:val="0"/>
          <w:numId w:val="28"/>
        </w:num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b/>
          <w:bCs/>
          <w:sz w:val="24"/>
          <w:szCs w:val="24"/>
          <w:lang w:eastAsia="fr-FR"/>
        </w:rPr>
        <w:lastRenderedPageBreak/>
        <w:t>Réponse attendue :</w:t>
      </w:r>
      <w:r w:rsidRPr="0007636C">
        <w:rPr>
          <w:rFonts w:ascii="Times New Roman" w:eastAsia="Times New Roman" w:hAnsi="Times New Roman" w:cs="Times New Roman"/>
          <w:sz w:val="24"/>
          <w:szCs w:val="24"/>
          <w:lang w:eastAsia="fr-FR"/>
        </w:rPr>
        <w:br/>
        <w:t>L’entretien pharmaceutique permet d’approfondir le conseil, sécuriser le parcours médicamenteux (vérification des traitements, ordonnances, interactions), prévenir des risques (carences, tabac, alcool, vaccins), et créer une relation durable avec la patiente. Il complète le conseil au comptoir en offrant un temps privilégié pour un suivi personnalisé et structuré.</w:t>
      </w:r>
    </w:p>
    <w:p w:rsidR="0007636C" w:rsidRPr="0007636C" w:rsidRDefault="0007636C" w:rsidP="0007636C">
      <w:pPr>
        <w:numPr>
          <w:ilvl w:val="0"/>
          <w:numId w:val="28"/>
        </w:num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b/>
          <w:bCs/>
          <w:sz w:val="24"/>
          <w:szCs w:val="24"/>
          <w:lang w:eastAsia="fr-FR"/>
        </w:rPr>
        <w:t>Réponse attendue :</w:t>
      </w:r>
      <w:r w:rsidRPr="0007636C">
        <w:rPr>
          <w:rFonts w:ascii="Times New Roman" w:eastAsia="Times New Roman" w:hAnsi="Times New Roman" w:cs="Times New Roman"/>
          <w:sz w:val="24"/>
          <w:szCs w:val="24"/>
          <w:lang w:eastAsia="fr-FR"/>
        </w:rPr>
        <w:br/>
        <w:t>Situations pertinentes : première ordonnance grossesse (fer, progestérone, vitamines), demande de conseil sur symptômes typiques (nausées, jambes lourdes, reflux, fatigue), renouvellement de compléments prénatals pour vérifier tolérance et adaptation des doses.</w:t>
      </w:r>
    </w:p>
    <w:p w:rsidR="0007636C" w:rsidRPr="0007636C" w:rsidRDefault="0007636C" w:rsidP="0007636C">
      <w:pPr>
        <w:numPr>
          <w:ilvl w:val="0"/>
          <w:numId w:val="28"/>
        </w:num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b/>
          <w:bCs/>
          <w:sz w:val="24"/>
          <w:szCs w:val="24"/>
          <w:lang w:eastAsia="fr-FR"/>
        </w:rPr>
        <w:t>Réponse attendue :</w:t>
      </w:r>
      <w:r w:rsidRPr="0007636C">
        <w:rPr>
          <w:rFonts w:ascii="Times New Roman" w:eastAsia="Times New Roman" w:hAnsi="Times New Roman" w:cs="Times New Roman"/>
          <w:sz w:val="24"/>
          <w:szCs w:val="24"/>
          <w:lang w:eastAsia="fr-FR"/>
        </w:rPr>
        <w:br/>
        <w:t>Mesures organisationnelles : tenir un registre des propositions et entretiens réalisés, désigner un référent “grossesse et maternité”, mettre à jour un classeur ou espace numérique avec protocoles de conseil, fiches produits sûrs, supports de communication (flyers, visuels, guides pratiques).</w:t>
      </w:r>
    </w:p>
    <w:p w:rsidR="0007636C" w:rsidRPr="0007636C" w:rsidRDefault="0007636C" w:rsidP="0007636C">
      <w:p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b/>
          <w:bCs/>
          <w:sz w:val="24"/>
          <w:szCs w:val="24"/>
          <w:lang w:eastAsia="fr-FR"/>
        </w:rPr>
        <w:t>QCM</w:t>
      </w:r>
    </w:p>
    <w:p w:rsidR="0007636C" w:rsidRPr="0007636C" w:rsidRDefault="0007636C" w:rsidP="0007636C">
      <w:pPr>
        <w:numPr>
          <w:ilvl w:val="0"/>
          <w:numId w:val="29"/>
        </w:num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b/>
          <w:bCs/>
          <w:sz w:val="24"/>
          <w:szCs w:val="24"/>
          <w:lang w:eastAsia="fr-FR"/>
        </w:rPr>
        <w:t>QCM 1 :</w:t>
      </w:r>
      <w:r w:rsidRPr="0007636C">
        <w:rPr>
          <w:rFonts w:ascii="Times New Roman" w:eastAsia="Times New Roman" w:hAnsi="Times New Roman" w:cs="Times New Roman"/>
          <w:sz w:val="24"/>
          <w:szCs w:val="24"/>
          <w:lang w:eastAsia="fr-FR"/>
        </w:rPr>
        <w:t xml:space="preserve"> </w:t>
      </w:r>
      <w:r w:rsidRPr="0007636C">
        <w:rPr>
          <w:rFonts w:ascii="Times New Roman" w:eastAsia="Times New Roman" w:hAnsi="Times New Roman" w:cs="Times New Roman"/>
          <w:b/>
          <w:bCs/>
          <w:sz w:val="24"/>
          <w:szCs w:val="24"/>
          <w:lang w:eastAsia="fr-FR"/>
        </w:rPr>
        <w:t>A</w:t>
      </w:r>
      <w:r w:rsidRPr="0007636C">
        <w:rPr>
          <w:rFonts w:ascii="Times New Roman" w:eastAsia="Times New Roman" w:hAnsi="Times New Roman" w:cs="Times New Roman"/>
          <w:sz w:val="24"/>
          <w:szCs w:val="24"/>
          <w:lang w:eastAsia="fr-FR"/>
        </w:rPr>
        <w:t xml:space="preserve"> </w:t>
      </w:r>
      <w:r w:rsidRPr="0007636C">
        <w:rPr>
          <w:rFonts w:ascii="Segoe UI Symbol" w:eastAsia="Times New Roman" w:hAnsi="Segoe UI Symbol" w:cs="Segoe UI Symbol"/>
          <w:sz w:val="24"/>
          <w:szCs w:val="24"/>
          <w:lang w:eastAsia="fr-FR"/>
        </w:rPr>
        <w:t>✅</w:t>
      </w:r>
      <w:r w:rsidRPr="0007636C">
        <w:rPr>
          <w:rFonts w:ascii="Times New Roman" w:eastAsia="Times New Roman" w:hAnsi="Times New Roman" w:cs="Times New Roman"/>
          <w:sz w:val="24"/>
          <w:szCs w:val="24"/>
          <w:lang w:eastAsia="fr-FR"/>
        </w:rPr>
        <w:br/>
      </w:r>
      <w:r w:rsidRPr="0007636C">
        <w:rPr>
          <w:rFonts w:ascii="Times New Roman" w:eastAsia="Times New Roman" w:hAnsi="Times New Roman" w:cs="Times New Roman"/>
          <w:i/>
          <w:iCs/>
          <w:sz w:val="24"/>
          <w:szCs w:val="24"/>
          <w:lang w:eastAsia="fr-FR"/>
        </w:rPr>
        <w:t>Justification :</w:t>
      </w:r>
      <w:r w:rsidRPr="0007636C">
        <w:rPr>
          <w:rFonts w:ascii="Times New Roman" w:eastAsia="Times New Roman" w:hAnsi="Times New Roman" w:cs="Times New Roman"/>
          <w:sz w:val="24"/>
          <w:szCs w:val="24"/>
          <w:lang w:eastAsia="fr-FR"/>
        </w:rPr>
        <w:t xml:space="preserve"> Vérifier les traitements, ordonnances et automédications est un objectif clé de l’entretien pour sécuriser la grossesse. Les autres options ne correspondent pas au rôle structurant et personnalisé de l’entretien.</w:t>
      </w:r>
    </w:p>
    <w:p w:rsidR="0007636C" w:rsidRPr="0007636C" w:rsidRDefault="0007636C" w:rsidP="0007636C">
      <w:pPr>
        <w:numPr>
          <w:ilvl w:val="0"/>
          <w:numId w:val="29"/>
        </w:num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b/>
          <w:bCs/>
          <w:sz w:val="24"/>
          <w:szCs w:val="24"/>
          <w:lang w:eastAsia="fr-FR"/>
        </w:rPr>
        <w:t>QCM 2 :</w:t>
      </w:r>
      <w:r w:rsidRPr="0007636C">
        <w:rPr>
          <w:rFonts w:ascii="Times New Roman" w:eastAsia="Times New Roman" w:hAnsi="Times New Roman" w:cs="Times New Roman"/>
          <w:sz w:val="24"/>
          <w:szCs w:val="24"/>
          <w:lang w:eastAsia="fr-FR"/>
        </w:rPr>
        <w:t xml:space="preserve"> </w:t>
      </w:r>
      <w:r w:rsidRPr="0007636C">
        <w:rPr>
          <w:rFonts w:ascii="Times New Roman" w:eastAsia="Times New Roman" w:hAnsi="Times New Roman" w:cs="Times New Roman"/>
          <w:b/>
          <w:bCs/>
          <w:sz w:val="24"/>
          <w:szCs w:val="24"/>
          <w:lang w:eastAsia="fr-FR"/>
        </w:rPr>
        <w:t>A</w:t>
      </w:r>
      <w:r w:rsidRPr="0007636C">
        <w:rPr>
          <w:rFonts w:ascii="Times New Roman" w:eastAsia="Times New Roman" w:hAnsi="Times New Roman" w:cs="Times New Roman"/>
          <w:sz w:val="24"/>
          <w:szCs w:val="24"/>
          <w:lang w:eastAsia="fr-FR"/>
        </w:rPr>
        <w:t xml:space="preserve"> </w:t>
      </w:r>
      <w:r w:rsidRPr="0007636C">
        <w:rPr>
          <w:rFonts w:ascii="Segoe UI Symbol" w:eastAsia="Times New Roman" w:hAnsi="Segoe UI Symbol" w:cs="Segoe UI Symbol"/>
          <w:sz w:val="24"/>
          <w:szCs w:val="24"/>
          <w:lang w:eastAsia="fr-FR"/>
        </w:rPr>
        <w:t>✅</w:t>
      </w:r>
      <w:r w:rsidRPr="0007636C">
        <w:rPr>
          <w:rFonts w:ascii="Times New Roman" w:eastAsia="Times New Roman" w:hAnsi="Times New Roman" w:cs="Times New Roman"/>
          <w:sz w:val="24"/>
          <w:szCs w:val="24"/>
          <w:lang w:eastAsia="fr-FR"/>
        </w:rPr>
        <w:br/>
      </w:r>
      <w:r w:rsidRPr="0007636C">
        <w:rPr>
          <w:rFonts w:ascii="Times New Roman" w:eastAsia="Times New Roman" w:hAnsi="Times New Roman" w:cs="Times New Roman"/>
          <w:i/>
          <w:iCs/>
          <w:sz w:val="24"/>
          <w:szCs w:val="24"/>
          <w:lang w:eastAsia="fr-FR"/>
        </w:rPr>
        <w:t>Justification :</w:t>
      </w:r>
      <w:r w:rsidRPr="0007636C">
        <w:rPr>
          <w:rFonts w:ascii="Times New Roman" w:eastAsia="Times New Roman" w:hAnsi="Times New Roman" w:cs="Times New Roman"/>
          <w:sz w:val="24"/>
          <w:szCs w:val="24"/>
          <w:lang w:eastAsia="fr-FR"/>
        </w:rPr>
        <w:t xml:space="preserve"> La première ordonnance grossesse est un moment privilégié pour proposer un entretien afin de sécuriser le parcours médicamenteux et répondre aux questions de la patiente.</w:t>
      </w:r>
    </w:p>
    <w:p w:rsidR="0007636C" w:rsidRPr="0007636C" w:rsidRDefault="0007636C" w:rsidP="0007636C">
      <w:pPr>
        <w:numPr>
          <w:ilvl w:val="0"/>
          <w:numId w:val="29"/>
        </w:numPr>
        <w:spacing w:before="100" w:beforeAutospacing="1" w:after="100" w:afterAutospacing="1" w:line="240" w:lineRule="auto"/>
        <w:rPr>
          <w:rFonts w:ascii="Times New Roman" w:eastAsia="Times New Roman" w:hAnsi="Times New Roman" w:cs="Times New Roman"/>
          <w:sz w:val="24"/>
          <w:szCs w:val="24"/>
          <w:lang w:eastAsia="fr-FR"/>
        </w:rPr>
      </w:pPr>
      <w:r w:rsidRPr="0007636C">
        <w:rPr>
          <w:rFonts w:ascii="Times New Roman" w:eastAsia="Times New Roman" w:hAnsi="Times New Roman" w:cs="Times New Roman"/>
          <w:b/>
          <w:bCs/>
          <w:sz w:val="24"/>
          <w:szCs w:val="24"/>
          <w:lang w:eastAsia="fr-FR"/>
        </w:rPr>
        <w:t>QCM 3 :</w:t>
      </w:r>
      <w:r w:rsidRPr="0007636C">
        <w:rPr>
          <w:rFonts w:ascii="Times New Roman" w:eastAsia="Times New Roman" w:hAnsi="Times New Roman" w:cs="Times New Roman"/>
          <w:sz w:val="24"/>
          <w:szCs w:val="24"/>
          <w:lang w:eastAsia="fr-FR"/>
        </w:rPr>
        <w:t xml:space="preserve"> </w:t>
      </w:r>
      <w:r w:rsidRPr="0007636C">
        <w:rPr>
          <w:rFonts w:ascii="Times New Roman" w:eastAsia="Times New Roman" w:hAnsi="Times New Roman" w:cs="Times New Roman"/>
          <w:b/>
          <w:bCs/>
          <w:sz w:val="24"/>
          <w:szCs w:val="24"/>
          <w:lang w:eastAsia="fr-FR"/>
        </w:rPr>
        <w:t>A</w:t>
      </w:r>
      <w:r w:rsidRPr="0007636C">
        <w:rPr>
          <w:rFonts w:ascii="Times New Roman" w:eastAsia="Times New Roman" w:hAnsi="Times New Roman" w:cs="Times New Roman"/>
          <w:sz w:val="24"/>
          <w:szCs w:val="24"/>
          <w:lang w:eastAsia="fr-FR"/>
        </w:rPr>
        <w:t xml:space="preserve"> </w:t>
      </w:r>
      <w:r w:rsidRPr="0007636C">
        <w:rPr>
          <w:rFonts w:ascii="Segoe UI Symbol" w:eastAsia="Times New Roman" w:hAnsi="Segoe UI Symbol" w:cs="Segoe UI Symbol"/>
          <w:sz w:val="24"/>
          <w:szCs w:val="24"/>
          <w:lang w:eastAsia="fr-FR"/>
        </w:rPr>
        <w:t>✅</w:t>
      </w:r>
      <w:r w:rsidRPr="0007636C">
        <w:rPr>
          <w:rFonts w:ascii="Times New Roman" w:eastAsia="Times New Roman" w:hAnsi="Times New Roman" w:cs="Times New Roman"/>
          <w:sz w:val="24"/>
          <w:szCs w:val="24"/>
          <w:lang w:eastAsia="fr-FR"/>
        </w:rPr>
        <w:br/>
      </w:r>
      <w:r w:rsidRPr="0007636C">
        <w:rPr>
          <w:rFonts w:ascii="Times New Roman" w:eastAsia="Times New Roman" w:hAnsi="Times New Roman" w:cs="Times New Roman"/>
          <w:i/>
          <w:iCs/>
          <w:sz w:val="24"/>
          <w:szCs w:val="24"/>
          <w:lang w:eastAsia="fr-FR"/>
        </w:rPr>
        <w:t>Justification :</w:t>
      </w:r>
      <w:r w:rsidRPr="0007636C">
        <w:rPr>
          <w:rFonts w:ascii="Times New Roman" w:eastAsia="Times New Roman" w:hAnsi="Times New Roman" w:cs="Times New Roman"/>
          <w:sz w:val="24"/>
          <w:szCs w:val="24"/>
          <w:lang w:eastAsia="fr-FR"/>
        </w:rPr>
        <w:t xml:space="preserve"> Tenir un registre avec dates et thèmes abordés, désigner un référent et utiliser des supports de communication permet de structurer l’accompagnement, sécuriser la patiente et renforcer la valeur ajoutée de l’officine.</w:t>
      </w:r>
    </w:p>
    <w:p w:rsidR="001612A3" w:rsidRDefault="001612A3">
      <w:bookmarkStart w:id="0" w:name="_GoBack"/>
      <w:bookmarkEnd w:id="0"/>
    </w:p>
    <w:sectPr w:rsidR="001612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C5D63"/>
    <w:multiLevelType w:val="multilevel"/>
    <w:tmpl w:val="B01E1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7D7F36"/>
    <w:multiLevelType w:val="multilevel"/>
    <w:tmpl w:val="2B06F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0C2A70"/>
    <w:multiLevelType w:val="multilevel"/>
    <w:tmpl w:val="7556E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146FF0"/>
    <w:multiLevelType w:val="multilevel"/>
    <w:tmpl w:val="39004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763E0C"/>
    <w:multiLevelType w:val="multilevel"/>
    <w:tmpl w:val="25BC1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4A50B2"/>
    <w:multiLevelType w:val="multilevel"/>
    <w:tmpl w:val="E8B04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3A01DB"/>
    <w:multiLevelType w:val="multilevel"/>
    <w:tmpl w:val="D4AEA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D74AB0"/>
    <w:multiLevelType w:val="multilevel"/>
    <w:tmpl w:val="106EA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DD3E89"/>
    <w:multiLevelType w:val="multilevel"/>
    <w:tmpl w:val="9DDC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FED30C6"/>
    <w:multiLevelType w:val="multilevel"/>
    <w:tmpl w:val="9118E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077C17"/>
    <w:multiLevelType w:val="multilevel"/>
    <w:tmpl w:val="8E328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9E4D16"/>
    <w:multiLevelType w:val="multilevel"/>
    <w:tmpl w:val="FB56A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A60E1C"/>
    <w:multiLevelType w:val="multilevel"/>
    <w:tmpl w:val="F0ACB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B42966"/>
    <w:multiLevelType w:val="multilevel"/>
    <w:tmpl w:val="DBEA3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93160A"/>
    <w:multiLevelType w:val="multilevel"/>
    <w:tmpl w:val="5CCA1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1F63CA"/>
    <w:multiLevelType w:val="multilevel"/>
    <w:tmpl w:val="2646D4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190992"/>
    <w:multiLevelType w:val="multilevel"/>
    <w:tmpl w:val="A60ED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162F39"/>
    <w:multiLevelType w:val="multilevel"/>
    <w:tmpl w:val="D07A7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15175B"/>
    <w:multiLevelType w:val="multilevel"/>
    <w:tmpl w:val="7D302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000419"/>
    <w:multiLevelType w:val="multilevel"/>
    <w:tmpl w:val="DB68CD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D124A5"/>
    <w:multiLevelType w:val="multilevel"/>
    <w:tmpl w:val="ED7079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C414AD2"/>
    <w:multiLevelType w:val="multilevel"/>
    <w:tmpl w:val="186E9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02452F1"/>
    <w:multiLevelType w:val="multilevel"/>
    <w:tmpl w:val="507619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0997576"/>
    <w:multiLevelType w:val="multilevel"/>
    <w:tmpl w:val="F1AC1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A10FF7"/>
    <w:multiLevelType w:val="multilevel"/>
    <w:tmpl w:val="68BC5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6B64F2"/>
    <w:multiLevelType w:val="multilevel"/>
    <w:tmpl w:val="C8144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6D8120F"/>
    <w:multiLevelType w:val="multilevel"/>
    <w:tmpl w:val="FB2E9D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7C6388E"/>
    <w:multiLevelType w:val="multilevel"/>
    <w:tmpl w:val="BB10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8A6D60"/>
    <w:multiLevelType w:val="multilevel"/>
    <w:tmpl w:val="A372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20"/>
  </w:num>
  <w:num w:numId="3">
    <w:abstractNumId w:val="11"/>
  </w:num>
  <w:num w:numId="4">
    <w:abstractNumId w:val="22"/>
  </w:num>
  <w:num w:numId="5">
    <w:abstractNumId w:val="14"/>
  </w:num>
  <w:num w:numId="6">
    <w:abstractNumId w:val="7"/>
  </w:num>
  <w:num w:numId="7">
    <w:abstractNumId w:val="13"/>
  </w:num>
  <w:num w:numId="8">
    <w:abstractNumId w:val="28"/>
  </w:num>
  <w:num w:numId="9">
    <w:abstractNumId w:val="8"/>
  </w:num>
  <w:num w:numId="10">
    <w:abstractNumId w:val="5"/>
  </w:num>
  <w:num w:numId="11">
    <w:abstractNumId w:val="24"/>
  </w:num>
  <w:num w:numId="12">
    <w:abstractNumId w:val="0"/>
  </w:num>
  <w:num w:numId="13">
    <w:abstractNumId w:val="18"/>
  </w:num>
  <w:num w:numId="14">
    <w:abstractNumId w:val="26"/>
  </w:num>
  <w:num w:numId="15">
    <w:abstractNumId w:val="6"/>
  </w:num>
  <w:num w:numId="16">
    <w:abstractNumId w:val="25"/>
  </w:num>
  <w:num w:numId="17">
    <w:abstractNumId w:val="4"/>
  </w:num>
  <w:num w:numId="18">
    <w:abstractNumId w:val="27"/>
  </w:num>
  <w:num w:numId="19">
    <w:abstractNumId w:val="16"/>
  </w:num>
  <w:num w:numId="20">
    <w:abstractNumId w:val="1"/>
  </w:num>
  <w:num w:numId="21">
    <w:abstractNumId w:val="23"/>
  </w:num>
  <w:num w:numId="22">
    <w:abstractNumId w:val="19"/>
  </w:num>
  <w:num w:numId="23">
    <w:abstractNumId w:val="12"/>
  </w:num>
  <w:num w:numId="24">
    <w:abstractNumId w:val="15"/>
  </w:num>
  <w:num w:numId="25">
    <w:abstractNumId w:val="2"/>
  </w:num>
  <w:num w:numId="26">
    <w:abstractNumId w:val="10"/>
  </w:num>
  <w:num w:numId="27">
    <w:abstractNumId w:val="9"/>
  </w:num>
  <w:num w:numId="28">
    <w:abstractNumId w:val="3"/>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745"/>
    <w:rsid w:val="0007636C"/>
    <w:rsid w:val="001612A3"/>
    <w:rsid w:val="001A1DF7"/>
    <w:rsid w:val="004E4867"/>
    <w:rsid w:val="00623BB0"/>
    <w:rsid w:val="00745B81"/>
    <w:rsid w:val="00907745"/>
    <w:rsid w:val="00D616CD"/>
    <w:rsid w:val="00DE6375"/>
    <w:rsid w:val="00FB25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4E0BAE-AE49-488F-ACC2-9F96912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8306">
      <w:bodyDiv w:val="1"/>
      <w:marLeft w:val="0"/>
      <w:marRight w:val="0"/>
      <w:marTop w:val="0"/>
      <w:marBottom w:val="0"/>
      <w:divBdr>
        <w:top w:val="none" w:sz="0" w:space="0" w:color="auto"/>
        <w:left w:val="none" w:sz="0" w:space="0" w:color="auto"/>
        <w:bottom w:val="none" w:sz="0" w:space="0" w:color="auto"/>
        <w:right w:val="none" w:sz="0" w:space="0" w:color="auto"/>
      </w:divBdr>
    </w:div>
    <w:div w:id="267781328">
      <w:bodyDiv w:val="1"/>
      <w:marLeft w:val="0"/>
      <w:marRight w:val="0"/>
      <w:marTop w:val="0"/>
      <w:marBottom w:val="0"/>
      <w:divBdr>
        <w:top w:val="none" w:sz="0" w:space="0" w:color="auto"/>
        <w:left w:val="none" w:sz="0" w:space="0" w:color="auto"/>
        <w:bottom w:val="none" w:sz="0" w:space="0" w:color="auto"/>
        <w:right w:val="none" w:sz="0" w:space="0" w:color="auto"/>
      </w:divBdr>
    </w:div>
    <w:div w:id="611983256">
      <w:bodyDiv w:val="1"/>
      <w:marLeft w:val="0"/>
      <w:marRight w:val="0"/>
      <w:marTop w:val="0"/>
      <w:marBottom w:val="0"/>
      <w:divBdr>
        <w:top w:val="none" w:sz="0" w:space="0" w:color="auto"/>
        <w:left w:val="none" w:sz="0" w:space="0" w:color="auto"/>
        <w:bottom w:val="none" w:sz="0" w:space="0" w:color="auto"/>
        <w:right w:val="none" w:sz="0" w:space="0" w:color="auto"/>
      </w:divBdr>
    </w:div>
    <w:div w:id="1092968138">
      <w:bodyDiv w:val="1"/>
      <w:marLeft w:val="0"/>
      <w:marRight w:val="0"/>
      <w:marTop w:val="0"/>
      <w:marBottom w:val="0"/>
      <w:divBdr>
        <w:top w:val="none" w:sz="0" w:space="0" w:color="auto"/>
        <w:left w:val="none" w:sz="0" w:space="0" w:color="auto"/>
        <w:bottom w:val="none" w:sz="0" w:space="0" w:color="auto"/>
        <w:right w:val="none" w:sz="0" w:space="0" w:color="auto"/>
      </w:divBdr>
    </w:div>
    <w:div w:id="1500267390">
      <w:bodyDiv w:val="1"/>
      <w:marLeft w:val="0"/>
      <w:marRight w:val="0"/>
      <w:marTop w:val="0"/>
      <w:marBottom w:val="0"/>
      <w:divBdr>
        <w:top w:val="none" w:sz="0" w:space="0" w:color="auto"/>
        <w:left w:val="none" w:sz="0" w:space="0" w:color="auto"/>
        <w:bottom w:val="none" w:sz="0" w:space="0" w:color="auto"/>
        <w:right w:val="none" w:sz="0" w:space="0" w:color="auto"/>
      </w:divBdr>
    </w:div>
    <w:div w:id="1528132126">
      <w:bodyDiv w:val="1"/>
      <w:marLeft w:val="0"/>
      <w:marRight w:val="0"/>
      <w:marTop w:val="0"/>
      <w:marBottom w:val="0"/>
      <w:divBdr>
        <w:top w:val="none" w:sz="0" w:space="0" w:color="auto"/>
        <w:left w:val="none" w:sz="0" w:space="0" w:color="auto"/>
        <w:bottom w:val="none" w:sz="0" w:space="0" w:color="auto"/>
        <w:right w:val="none" w:sz="0" w:space="0" w:color="auto"/>
      </w:divBdr>
    </w:div>
    <w:div w:id="1708488793">
      <w:bodyDiv w:val="1"/>
      <w:marLeft w:val="0"/>
      <w:marRight w:val="0"/>
      <w:marTop w:val="0"/>
      <w:marBottom w:val="0"/>
      <w:divBdr>
        <w:top w:val="none" w:sz="0" w:space="0" w:color="auto"/>
        <w:left w:val="none" w:sz="0" w:space="0" w:color="auto"/>
        <w:bottom w:val="none" w:sz="0" w:space="0" w:color="auto"/>
        <w:right w:val="none" w:sz="0" w:space="0" w:color="auto"/>
      </w:divBdr>
    </w:div>
    <w:div w:id="1755975078">
      <w:bodyDiv w:val="1"/>
      <w:marLeft w:val="0"/>
      <w:marRight w:val="0"/>
      <w:marTop w:val="0"/>
      <w:marBottom w:val="0"/>
      <w:divBdr>
        <w:top w:val="none" w:sz="0" w:space="0" w:color="auto"/>
        <w:left w:val="none" w:sz="0" w:space="0" w:color="auto"/>
        <w:bottom w:val="none" w:sz="0" w:space="0" w:color="auto"/>
        <w:right w:val="none" w:sz="0" w:space="0" w:color="auto"/>
      </w:divBdr>
    </w:div>
    <w:div w:id="198227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518</Words>
  <Characters>2851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2025-10-14T10:16:00Z</dcterms:created>
  <dcterms:modified xsi:type="dcterms:W3CDTF">2025-10-14T10:16:00Z</dcterms:modified>
</cp:coreProperties>
</file>